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972"/>
        <w:ind w:left="0" w:right="0"/>
      </w:pPr>
    </w:p>
    <w:p>
      <w:pPr>
        <w:sectPr>
          <w:pgSz w:w="11900" w:h="16840"/>
          <w:pgMar w:top="480" w:right="100" w:bottom="368" w:left="13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TÜV Rheinland Italia S.r.l. </w:t>
      </w:r>
    </w:p>
    <w:p>
      <w:pPr>
        <w:sectPr>
          <w:type w:val="continuous"/>
          <w:pgSz w:w="11900" w:h="16840"/>
          <w:pgMar w:top="480" w:right="100" w:bottom="368" w:left="1334" w:header="720" w:footer="720" w:gutter="0"/>
          <w:cols w:num="2" w:equalWidth="0">
            <w:col w:w="3914" w:space="0"/>
            <w:col w:w="6552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04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2231390" cy="45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8"/>
        <w:sectPr>
          <w:type w:val="nextColumn"/>
          <w:pgSz w:w="11900" w:h="16840"/>
          <w:pgMar w:top="480" w:right="100" w:bottom="368" w:left="1334" w:header="720" w:footer="720" w:gutter="0"/>
          <w:cols w:num="2" w:equalWidth="0">
            <w:col w:w="3914" w:space="0"/>
            <w:col w:w="6552" w:space="0"/>
          </w:cols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30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Sicurezza e Qualità Prodotto </w:t>
      </w:r>
    </w:p>
    <w:p>
      <w:pPr>
        <w:autoSpaceDN w:val="0"/>
        <w:tabs>
          <w:tab w:pos="5262" w:val="left"/>
        </w:tabs>
        <w:autoSpaceDE w:val="0"/>
        <w:widowControl/>
        <w:spacing w:line="245" w:lineRule="auto" w:before="974" w:after="0"/>
        <w:ind w:left="120" w:right="3312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TÜV Rheinland Italia S.r.l. </w:t>
      </w:r>
      <w:r>
        <w:tab/>
      </w:r>
      <w:r>
        <w:rPr>
          <w:rFonts w:ascii="" w:hAnsi="" w:eastAsia=""/>
          <w:b/>
          <w:i w:val="0"/>
          <w:color w:val="000000"/>
          <w:sz w:val="20"/>
        </w:rPr>
        <w:t xml:space="preserve">PERISO SA </w:t>
      </w:r>
      <w:r>
        <w:rPr>
          <w:rFonts w:ascii="" w:hAnsi="" w:eastAsia=""/>
          <w:b w:val="0"/>
          <w:i w:val="0"/>
          <w:color w:val="000000"/>
          <w:sz w:val="20"/>
        </w:rPr>
        <w:t xml:space="preserve">Via Mattei 3 </w:t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Via Senago 42D </w:t>
      </w:r>
      <w:r>
        <w:rPr>
          <w:rFonts w:ascii="" w:hAnsi="" w:eastAsia=""/>
          <w:b w:val="0"/>
          <w:i w:val="0"/>
          <w:color w:val="000000"/>
          <w:sz w:val="20"/>
        </w:rPr>
        <w:t xml:space="preserve">20005 Pogliano Milanese (MI) </w:t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6912 Pazzallo (CH) </w:t>
      </w:r>
      <w:r>
        <w:rPr>
          <w:rFonts w:ascii="" w:hAnsi="" w:eastAsia=""/>
          <w:b w:val="0"/>
          <w:i w:val="0"/>
          <w:color w:val="000000"/>
          <w:sz w:val="20"/>
        </w:rPr>
        <w:t xml:space="preserve">Italia </w:t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Svizzera </w:t>
      </w:r>
    </w:p>
    <w:p>
      <w:pPr>
        <w:autoSpaceDN w:val="0"/>
        <w:tabs>
          <w:tab w:pos="5266" w:val="left"/>
        </w:tabs>
        <w:autoSpaceDE w:val="0"/>
        <w:widowControl/>
        <w:spacing w:line="245" w:lineRule="auto" w:before="248" w:after="0"/>
        <w:ind w:left="92" w:right="4176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Via del Faggiolo 1/12 </w:t>
      </w:r>
      <w:r>
        <w:tab/>
      </w:r>
      <w:r>
        <w:rPr>
          <w:rFonts w:ascii="" w:hAnsi="" w:eastAsia=""/>
          <w:b/>
          <w:i w:val="0"/>
          <w:color w:val="000000"/>
          <w:sz w:val="20"/>
        </w:rPr>
        <w:t xml:space="preserve">Attention: </w:t>
      </w:r>
      <w:r>
        <w:rPr>
          <w:rFonts w:ascii="" w:hAnsi="" w:eastAsia=""/>
          <w:b w:val="0"/>
          <w:i w:val="0"/>
          <w:color w:val="000000"/>
          <w:sz w:val="20"/>
        </w:rPr>
        <w:t xml:space="preserve">40132 Bologna </w:t>
      </w:r>
      <w:r>
        <w:tab/>
      </w:r>
      <w:r>
        <w:rPr>
          <w:rFonts w:ascii="" w:hAnsi="" w:eastAsia=""/>
          <w:b/>
          <w:i w:val="0"/>
          <w:color w:val="000000"/>
          <w:sz w:val="20"/>
        </w:rPr>
        <w:t xml:space="preserve">Mr Santoli </w:t>
      </w:r>
      <w:r>
        <w:rPr>
          <w:rFonts w:ascii="" w:hAnsi="" w:eastAsia=""/>
          <w:b w:val="0"/>
          <w:i w:val="0"/>
          <w:color w:val="000000"/>
          <w:sz w:val="20"/>
        </w:rPr>
        <w:t xml:space="preserve">Italia </w:t>
      </w:r>
    </w:p>
    <w:p>
      <w:pPr>
        <w:autoSpaceDN w:val="0"/>
        <w:autoSpaceDE w:val="0"/>
        <w:widowControl/>
        <w:spacing w:line="209" w:lineRule="auto" w:before="490" w:after="0"/>
        <w:ind w:left="92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Date: 27.06.2023 </w:t>
      </w:r>
    </w:p>
    <w:p>
      <w:pPr>
        <w:autoSpaceDN w:val="0"/>
        <w:autoSpaceDE w:val="0"/>
        <w:widowControl/>
        <w:spacing w:line="206" w:lineRule="auto" w:before="552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Object: Confirmation of the status of a formal application, written agreement, </w:t>
      </w:r>
    </w:p>
    <w:p>
      <w:pPr>
        <w:autoSpaceDN w:val="0"/>
        <w:autoSpaceDE w:val="0"/>
        <w:widowControl/>
        <w:spacing w:line="209" w:lineRule="auto" w:before="144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and appropriate surveillance in the framework of Regulation EU 2023/607 </w:t>
      </w:r>
    </w:p>
    <w:p>
      <w:pPr>
        <w:autoSpaceDN w:val="0"/>
        <w:autoSpaceDE w:val="0"/>
        <w:widowControl/>
        <w:spacing w:line="209" w:lineRule="auto" w:before="144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amending Regulations (EU) 2017/745 and (EU) 2017/746 as regards the </w:t>
      </w:r>
    </w:p>
    <w:p>
      <w:pPr>
        <w:autoSpaceDN w:val="0"/>
        <w:autoSpaceDE w:val="0"/>
        <w:widowControl/>
        <w:spacing w:line="209" w:lineRule="auto" w:before="144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transitional provisions for certain medical devices and in vitro diagnostic </w:t>
      </w:r>
    </w:p>
    <w:p>
      <w:pPr>
        <w:autoSpaceDN w:val="0"/>
        <w:autoSpaceDE w:val="0"/>
        <w:widowControl/>
        <w:spacing w:line="209" w:lineRule="auto" w:before="138" w:after="0"/>
        <w:ind w:left="3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>medical devices</w:t>
      </w:r>
    </w:p>
    <w:p>
      <w:pPr>
        <w:autoSpaceDN w:val="0"/>
        <w:autoSpaceDE w:val="0"/>
        <w:widowControl/>
        <w:spacing w:line="209" w:lineRule="auto" w:before="524" w:after="0"/>
        <w:ind w:left="30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Dear Mr Santoli, </w:t>
      </w:r>
    </w:p>
    <w:p>
      <w:pPr>
        <w:autoSpaceDN w:val="0"/>
        <w:autoSpaceDE w:val="0"/>
        <w:widowControl/>
        <w:spacing w:line="245" w:lineRule="auto" w:before="488" w:after="0"/>
        <w:ind w:left="30" w:right="2898" w:firstLine="0"/>
        <w:jc w:val="both"/>
      </w:pPr>
      <w:r>
        <w:rPr>
          <w:rFonts w:ascii="" w:hAnsi="" w:eastAsia=""/>
          <w:b w:val="0"/>
          <w:i w:val="0"/>
          <w:color w:val="000000"/>
          <w:sz w:val="20"/>
        </w:rPr>
        <w:t xml:space="preserve">This letter confirms that, TUV RHEINLAND ITALIA, a Notified Body (NB) designated </w:t>
      </w:r>
      <w:r>
        <w:rPr>
          <w:rFonts w:ascii="" w:hAnsi="" w:eastAsia=""/>
          <w:b w:val="0"/>
          <w:i w:val="0"/>
          <w:color w:val="000000"/>
          <w:sz w:val="20"/>
        </w:rPr>
        <w:t xml:space="preserve">against Regulation (EU) 2017/745 (MDR) and identified by the number 1936 on </w:t>
      </w:r>
      <w:r>
        <w:rPr>
          <w:rFonts w:ascii="" w:hAnsi="" w:eastAsia=""/>
          <w:b w:val="0"/>
          <w:i w:val="0"/>
          <w:color w:val="000000"/>
          <w:sz w:val="20"/>
        </w:rPr>
        <w:t xml:space="preserve">NANDO, has received a formal application in accordance with Section 4.3, first </w:t>
      </w:r>
      <w:r>
        <w:rPr>
          <w:rFonts w:ascii="" w:hAnsi="" w:eastAsia=""/>
          <w:b w:val="0"/>
          <w:i w:val="0"/>
          <w:color w:val="000000"/>
          <w:sz w:val="20"/>
        </w:rPr>
        <w:t xml:space="preserve">subparagraph of Annex VII of MDR and has signed a written agreement in accordance </w:t>
      </w:r>
      <w:r>
        <w:rPr>
          <w:rFonts w:ascii="" w:hAnsi="" w:eastAsia=""/>
          <w:b w:val="0"/>
          <w:i w:val="0"/>
          <w:color w:val="000000"/>
          <w:sz w:val="20"/>
        </w:rPr>
        <w:t xml:space="preserve">with Section 4.3, second subparagraph of Annex VII of MDR with the following </w:t>
      </w:r>
      <w:r>
        <w:rPr>
          <w:rFonts w:ascii="" w:hAnsi="" w:eastAsia=""/>
          <w:b w:val="0"/>
          <w:i w:val="0"/>
          <w:color w:val="000000"/>
          <w:sz w:val="20"/>
        </w:rPr>
        <w:t xml:space="preserve">manufacturer:: </w:t>
      </w:r>
    </w:p>
    <w:p>
      <w:pPr>
        <w:autoSpaceDN w:val="0"/>
        <w:autoSpaceDE w:val="0"/>
        <w:widowControl/>
        <w:spacing w:line="245" w:lineRule="auto" w:before="250" w:after="0"/>
        <w:ind w:left="30" w:right="8496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PERISO SA </w:t>
      </w:r>
      <w:r>
        <w:br/>
      </w:r>
      <w:r>
        <w:rPr>
          <w:rFonts w:ascii="" w:hAnsi="" w:eastAsia=""/>
          <w:b/>
          <w:i w:val="0"/>
          <w:color w:val="000000"/>
          <w:sz w:val="20"/>
        </w:rPr>
        <w:t xml:space="preserve">Via Senago 42D </w:t>
      </w:r>
      <w:r>
        <w:br/>
      </w:r>
      <w:r>
        <w:rPr>
          <w:rFonts w:ascii="" w:hAnsi="" w:eastAsia=""/>
          <w:b/>
          <w:i w:val="0"/>
          <w:color w:val="000000"/>
          <w:sz w:val="20"/>
        </w:rPr>
        <w:t xml:space="preserve">6912 Pazzallo (CH) </w:t>
      </w:r>
      <w:r>
        <w:br/>
      </w:r>
      <w:r>
        <w:rPr>
          <w:rFonts w:ascii="" w:hAnsi="" w:eastAsia=""/>
          <w:b/>
          <w:i w:val="0"/>
          <w:color w:val="000000"/>
          <w:sz w:val="20"/>
        </w:rPr>
        <w:t xml:space="preserve">Svizzera </w:t>
      </w:r>
    </w:p>
    <w:p>
      <w:pPr>
        <w:autoSpaceDN w:val="0"/>
        <w:autoSpaceDE w:val="0"/>
        <w:widowControl/>
        <w:spacing w:line="245" w:lineRule="auto" w:before="264" w:after="114"/>
        <w:ind w:left="30" w:right="288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The devices covered by the formal application and the written agreement mentioned </w:t>
      </w:r>
      <w:r>
        <w:rPr>
          <w:rFonts w:ascii="" w:hAnsi="" w:eastAsia=""/>
          <w:b w:val="0"/>
          <w:i w:val="0"/>
          <w:color w:val="000000"/>
          <w:sz w:val="20"/>
        </w:rPr>
        <w:t xml:space="preserve">above are identified in the Table below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5233"/>
        <w:gridCol w:w="5233"/>
      </w:tblGrid>
      <w:tr>
        <w:trPr>
          <w:trHeight w:hRule="exact" w:val="836"/>
        </w:trPr>
        <w:tc>
          <w:tcPr>
            <w:tcW w:type="dxa" w:w="8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46" w:after="0"/>
              <w:ind w:left="24" w:right="438" w:firstLine="0"/>
              <w:jc w:val="both"/>
            </w:pP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The table identifies the devices for which an MDR application has been received and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a written agreement concluded, but the NB has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  <w:u w:val="single"/>
              </w:rPr>
              <w:t>not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 yet taken the responsibility for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appropriate surveillance of the corresponding devices under the applicable Directive.. </w:t>
            </w:r>
          </w:p>
        </w:tc>
        <w:tc>
          <w:tcPr>
            <w:tcW w:type="dxa" w:w="2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60" w:after="0"/>
              <w:ind w:left="472" w:right="144" w:firstLine="0"/>
              <w:jc w:val="left"/>
            </w:pP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TÜV Rheinland Italia S.r.l.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Sede Legale ed operativa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Membro del Gruppo </w:t>
            </w:r>
            <w:r>
              <w:br/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TÜV Rheinland </w:t>
            </w:r>
          </w:p>
        </w:tc>
      </w:tr>
    </w:tbl>
    <w:p>
      <w:pPr>
        <w:autoSpaceDN w:val="0"/>
        <w:autoSpaceDE w:val="0"/>
        <w:widowControl/>
        <w:spacing w:line="209" w:lineRule="auto" w:before="30" w:after="12"/>
        <w:ind w:left="0" w:right="1172" w:firstLine="0"/>
        <w:jc w:val="right"/>
      </w:pPr>
      <w:r>
        <w:rPr>
          <w:rFonts w:ascii="" w:hAnsi="" w:eastAsia=""/>
          <w:b w:val="0"/>
          <w:i w:val="0"/>
          <w:color w:val="000000"/>
          <w:sz w:val="14"/>
        </w:rPr>
        <w:t xml:space="preserve">Via Mattei, 3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5233"/>
        <w:gridCol w:w="5233"/>
      </w:tblGrid>
      <w:tr>
        <w:trPr>
          <w:trHeight w:hRule="exact" w:val="1978"/>
        </w:trPr>
        <w:tc>
          <w:tcPr>
            <w:tcW w:type="dxa" w:w="8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44" w:after="0"/>
              <w:ind w:left="24" w:right="438" w:firstLine="0"/>
              <w:jc w:val="both"/>
            </w:pP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In the case of devices covered by certificates issued under Directive 90/385/EEC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(AIMDD) or Directive 93/42/EEC (MDD) that expired after 26 May 2021 and before 20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March 2023, without having been withdrawn, this letter also confirms that the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manufacturer signed the written agreement under MDR by the date of MDD/AIMDD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certificate expiry; or provided evidence that a competent authority of a Member State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had granted a derogation or exemption from the applicable conformity assessment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procedure in accordance with Article 59(1) of MDR or Article 97(1) of the MDR 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>respectively, by the 20</w:t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Mar 2023 for the relevant devices. </w:t>
            </w:r>
          </w:p>
        </w:tc>
        <w:tc>
          <w:tcPr>
            <w:tcW w:type="dxa" w:w="2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2" w:after="0"/>
              <w:ind w:left="472" w:right="0" w:firstLine="0"/>
              <w:jc w:val="left"/>
            </w:pP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20005 Pogliano Milanese (MI) </w:t>
            </w:r>
          </w:p>
          <w:p>
            <w:pPr>
              <w:autoSpaceDN w:val="0"/>
              <w:autoSpaceDE w:val="0"/>
              <w:widowControl/>
              <w:spacing w:line="245" w:lineRule="auto" w:before="184" w:after="0"/>
              <w:ind w:left="472" w:right="0" w:firstLine="0"/>
              <w:jc w:val="left"/>
            </w:pP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Tel: +39.02.939.687.1 </w:t>
            </w:r>
            <w:r>
              <w:br/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Fax: +39.02.939.687.23 </w:t>
            </w:r>
            <w:r>
              <w:br/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E-mail:informazioni@it.tuv.com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Web:www.tuvitalia.com </w:t>
            </w:r>
          </w:p>
          <w:p>
            <w:pPr>
              <w:autoSpaceDN w:val="0"/>
              <w:autoSpaceDE w:val="0"/>
              <w:widowControl/>
              <w:spacing w:line="245" w:lineRule="auto" w:before="182" w:after="0"/>
              <w:ind w:left="472" w:right="0" w:firstLine="0"/>
              <w:jc w:val="left"/>
            </w:pP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Capitale sociale </w:t>
            </w:r>
            <w:r>
              <w:br/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EURO 51.000,00 int. versato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C.C.I.A.A. Milano No. 1535451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Registro Milano No. 214918 </w:t>
            </w:r>
            <w:r>
              <w:rPr>
                <w:rFonts w:ascii="" w:hAnsi="" w:eastAsia=""/>
                <w:b w:val="0"/>
                <w:i w:val="0"/>
                <w:color w:val="000000"/>
                <w:sz w:val="14"/>
              </w:rPr>
              <w:t xml:space="preserve">CF e IVA 12184570153 </w:t>
            </w:r>
          </w:p>
        </w:tc>
      </w:tr>
    </w:tbl>
    <w:p>
      <w:pPr>
        <w:autoSpaceDN w:val="0"/>
        <w:autoSpaceDE w:val="0"/>
        <w:widowControl/>
        <w:spacing w:line="209" w:lineRule="auto" w:before="668" w:after="0"/>
        <w:ind w:left="0" w:right="6584" w:firstLine="0"/>
        <w:jc w:val="right"/>
      </w:pPr>
      <w:r>
        <w:rPr>
          <w:rFonts w:ascii="" w:hAnsi="" w:eastAsia=""/>
          <w:b w:val="0"/>
          <w:i w:val="0"/>
          <w:color w:val="000000"/>
          <w:sz w:val="20"/>
        </w:rPr>
        <w:t xml:space="preserve">1 </w:t>
      </w:r>
    </w:p>
    <w:p>
      <w:pPr>
        <w:sectPr>
          <w:type w:val="continuous"/>
          <w:pgSz w:w="11900" w:h="16840"/>
          <w:pgMar w:top="480" w:right="100" w:bottom="368" w:left="133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72"/>
        <w:ind w:left="0" w:right="0"/>
      </w:pPr>
    </w:p>
    <w:p>
      <w:pPr>
        <w:sectPr>
          <w:pgSz w:w="11900" w:h="16840"/>
          <w:pgMar w:top="480" w:right="100" w:bottom="368" w:left="136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0" w:right="0" w:firstLine="0"/>
        <w:jc w:val="left"/>
      </w:pPr>
      <w:r>
        <w:rPr>
          <w:rFonts w:ascii="" w:hAnsi="" w:eastAsia=""/>
          <w:b/>
          <w:i w:val="0"/>
          <w:color w:val="000000"/>
          <w:sz w:val="20"/>
        </w:rPr>
        <w:t xml:space="preserve">TÜV Rheinland Italia S.r.l. </w:t>
      </w:r>
    </w:p>
    <w:p>
      <w:pPr>
        <w:sectPr>
          <w:type w:val="continuous"/>
          <w:pgSz w:w="11900" w:h="16840"/>
          <w:pgMar w:top="480" w:right="100" w:bottom="368" w:left="1364" w:header="720" w:footer="720" w:gutter="0"/>
          <w:cols w:num="2" w:equalWidth="0">
            <w:col w:w="3884" w:space="0"/>
            <w:col w:w="6552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04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2231390" cy="457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8"/>
        <w:sectPr>
          <w:type w:val="nextColumn"/>
          <w:pgSz w:w="11900" w:h="16840"/>
          <w:pgMar w:top="480" w:right="100" w:bottom="368" w:left="1364" w:header="720" w:footer="720" w:gutter="0"/>
          <w:cols w:num="2" w:equalWidth="0">
            <w:col w:w="3884" w:space="0"/>
            <w:col w:w="6552" w:space="0"/>
          </w:cols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0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Sicurezza e Qualità Prodotto </w:t>
      </w:r>
    </w:p>
    <w:p>
      <w:pPr>
        <w:autoSpaceDN w:val="0"/>
        <w:tabs>
          <w:tab w:pos="360" w:val="left"/>
          <w:tab w:pos="720" w:val="left"/>
        </w:tabs>
        <w:autoSpaceDE w:val="0"/>
        <w:widowControl/>
        <w:spacing w:line="245" w:lineRule="auto" w:before="474" w:after="14"/>
        <w:ind w:left="0" w:right="288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The transition timelines that apply to the devices covered by this letter, subject to the </w:t>
      </w:r>
      <w:r>
        <w:rPr>
          <w:rFonts w:ascii="" w:hAnsi="" w:eastAsia=""/>
          <w:b w:val="0"/>
          <w:i w:val="0"/>
          <w:color w:val="000000"/>
          <w:sz w:val="20"/>
        </w:rPr>
        <w:t xml:space="preserve">manufacturer’s continued compliance to the other conditions specified in Article </w:t>
      </w:r>
      <w:r>
        <w:rPr>
          <w:rFonts w:ascii="" w:hAnsi="" w:eastAsia=""/>
          <w:b w:val="0"/>
          <w:i w:val="0"/>
          <w:color w:val="000000"/>
          <w:sz w:val="20"/>
        </w:rPr>
        <w:t xml:space="preserve">120.3c of MDR (as amended by (EU) 2023/607), are shown below: </w:t>
      </w:r>
      <w:r>
        <w:br/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></w:t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26 May 2026 for Class III custom-made implantable devices </w:t>
      </w:r>
      <w:r>
        <w:br/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></w:t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31 December 2027 for Class III devices and Class IIb implantable devices </w:t>
      </w:r>
      <w:r>
        <w:tab/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excluding Well-established technologies (WET - sutures, staples, dental </w:t>
      </w:r>
      <w:r>
        <w:tab/>
      </w:r>
      <w:r>
        <w:tab/>
      </w:r>
      <w:r>
        <w:rPr>
          <w:rFonts w:ascii="" w:hAnsi="" w:eastAsia=""/>
          <w:b w:val="0"/>
          <w:i w:val="0"/>
          <w:color w:val="000000"/>
          <w:sz w:val="20"/>
        </w:rPr>
        <w:t xml:space="preserve">fillings, dental braces, tooth crowns, screws, wedges, plates, wires, pins, clips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75.99999999999994" w:type="dxa"/>
      </w:tblPr>
      <w:tblGrid>
        <w:gridCol w:w="5218"/>
        <w:gridCol w:w="5218"/>
      </w:tblGrid>
      <w:tr>
        <w:trPr>
          <w:trHeight w:hRule="exact" w:val="470"/>
        </w:trPr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9" w:lineRule="auto" w:before="210" w:after="0"/>
              <w:ind w:left="0" w:right="0" w:firstLine="0"/>
              <w:jc w:val="center"/>
            </w:pP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></w:t>
            </w:r>
          </w:p>
        </w:tc>
        <w:tc>
          <w:tcPr>
            <w:tcW w:type="dxa" w:w="8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6" w:after="0"/>
              <w:ind w:left="144" w:right="1296" w:firstLine="0"/>
              <w:jc w:val="left"/>
            </w:pP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and connectors) </w:t>
            </w:r>
            <w:r>
              <w:br/>
            </w:r>
            <w:r>
              <w:rPr>
                <w:rFonts w:ascii="" w:hAnsi="" w:eastAsia=""/>
                <w:b w:val="0"/>
                <w:i w:val="0"/>
                <w:color w:val="000000"/>
                <w:sz w:val="20"/>
              </w:rPr>
              <w:t xml:space="preserve">31 December 2028 for other Class IIb devices, Class IIa, Class I devices </w:t>
            </w:r>
          </w:p>
        </w:tc>
      </w:tr>
    </w:tbl>
    <w:p>
      <w:pPr>
        <w:autoSpaceDN w:val="0"/>
        <w:autoSpaceDE w:val="0"/>
        <w:widowControl/>
        <w:spacing w:line="245" w:lineRule="auto" w:before="16" w:after="0"/>
        <w:ind w:left="0" w:right="2880" w:firstLine="72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placed on the market in sterile condition or have a measuring function </w:t>
      </w:r>
      <w:r>
        <w:rPr>
          <w:rFonts w:ascii="" w:hAnsi="" w:eastAsia=""/>
          <w:b w:val="0"/>
          <w:i w:val="0"/>
          <w:color w:val="000000"/>
          <w:sz w:val="20"/>
        </w:rPr>
        <w:t xml:space="preserve">31 December 2028 for devices not requiring the involvement of a notified body under </w:t>
      </w:r>
      <w:r>
        <w:rPr>
          <w:rFonts w:ascii="" w:hAnsi="" w:eastAsia=""/>
          <w:b w:val="0"/>
          <w:i w:val="0"/>
          <w:color w:val="000000"/>
          <w:sz w:val="20"/>
        </w:rPr>
        <w:t xml:space="preserve">MDD but requiring it under MDR (e.g., class I devices that qualify as re-usable surgical </w:t>
      </w:r>
      <w:r>
        <w:rPr>
          <w:rFonts w:ascii="" w:hAnsi="" w:eastAsia=""/>
          <w:b w:val="0"/>
          <w:i w:val="0"/>
          <w:color w:val="000000"/>
          <w:sz w:val="20"/>
        </w:rPr>
        <w:t xml:space="preserve">instruments) </w:t>
      </w:r>
    </w:p>
    <w:p>
      <w:pPr>
        <w:autoSpaceDN w:val="0"/>
        <w:autoSpaceDE w:val="0"/>
        <w:widowControl/>
        <w:spacing w:line="245" w:lineRule="auto" w:before="254" w:after="226"/>
        <w:ind w:left="0" w:right="2898" w:firstLine="0"/>
        <w:jc w:val="both"/>
      </w:pPr>
      <w:r>
        <w:rPr>
          <w:rFonts w:ascii="" w:hAnsi="" w:eastAsia=""/>
          <w:b/>
          <w:i w:val="0"/>
          <w:color w:val="000000"/>
          <w:sz w:val="20"/>
        </w:rPr>
        <w:t xml:space="preserve">Devices covered by this letter, and for which the NB is NOT responsible for </w:t>
      </w:r>
      <w:r>
        <w:rPr>
          <w:rFonts w:ascii="" w:hAnsi="" w:eastAsia=""/>
          <w:b/>
          <w:i w:val="0"/>
          <w:color w:val="000000"/>
          <w:sz w:val="20"/>
        </w:rPr>
        <w:t xml:space="preserve">appropriate surveillance of the corresponding devices under the applicable </w:t>
      </w:r>
      <w:r>
        <w:rPr>
          <w:rFonts w:ascii="" w:hAnsi="" w:eastAsia=""/>
          <w:b/>
          <w:i w:val="0"/>
          <w:color w:val="000000"/>
          <w:sz w:val="20"/>
        </w:rPr>
        <w:t xml:space="preserve">Directive, and identified on the basis of the indications provided in the MDR </w:t>
      </w:r>
      <w:r>
        <w:rPr>
          <w:rFonts w:ascii="" w:hAnsi="" w:eastAsia=""/>
          <w:b/>
          <w:i w:val="0"/>
          <w:color w:val="000000"/>
          <w:sz w:val="20"/>
        </w:rPr>
        <w:t xml:space="preserve">application received: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609"/>
        <w:gridCol w:w="2609"/>
        <w:gridCol w:w="2609"/>
        <w:gridCol w:w="2609"/>
      </w:tblGrid>
      <w:tr>
        <w:trPr>
          <w:trHeight w:hRule="exact" w:val="1668"/>
        </w:trPr>
        <w:tc>
          <w:tcPr>
            <w:tcW w:type="dxa" w:w="2108"/>
            <w:tcBorders>
              <w:start w:sz="3.199999999999932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02" w:right="0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Device name or Basic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UDI-DI (under MDR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>application)</w:t>
            </w:r>
          </w:p>
        </w:tc>
        <w:tc>
          <w:tcPr>
            <w:tcW w:type="dxa" w:w="176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98" w:right="144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MDR Device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classification (as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proposed by the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manufacturer) </w:t>
            </w:r>
          </w:p>
        </w:tc>
        <w:tc>
          <w:tcPr>
            <w:tcW w:type="dxa" w:w="1760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00" w:right="0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If the MDR device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is a substitute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device,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identification of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the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corresponding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MDD/AIMDD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device </w:t>
            </w:r>
          </w:p>
        </w:tc>
        <w:tc>
          <w:tcPr>
            <w:tcW w:type="dxa" w:w="215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100" w:right="288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MDD/AIMDD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Certificate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Reference(s) of the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devices under MDR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application, and the </w:t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>NB Identification</w:t>
            </w:r>
          </w:p>
        </w:tc>
      </w:tr>
      <w:tr>
        <w:trPr>
          <w:trHeight w:hRule="exact" w:val="1668"/>
        </w:trPr>
        <w:tc>
          <w:tcPr>
            <w:tcW w:type="dxa" w:w="2108"/>
            <w:tcBorders>
              <w:start w:sz="3.199999999999932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5" w:lineRule="auto" w:before="24" w:after="0"/>
              <w:ind w:left="102" w:right="0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CTU MEGA 20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BASIC UDI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7649990767CME20LE </w:t>
            </w:r>
          </w:p>
        </w:tc>
        <w:tc>
          <w:tcPr>
            <w:tcW w:type="dxa" w:w="176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9" w:lineRule="auto" w:before="24" w:after="0"/>
              <w:ind w:left="98" w:right="0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Classe IIa </w:t>
            </w:r>
          </w:p>
        </w:tc>
        <w:tc>
          <w:tcPr>
            <w:tcW w:type="dxa" w:w="1760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9" w:lineRule="auto" w:before="24" w:after="0"/>
              <w:ind w:left="100" w:right="0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N/A </w:t>
            </w:r>
          </w:p>
        </w:tc>
        <w:tc>
          <w:tcPr>
            <w:tcW w:type="dxa" w:w="215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4" w:after="0"/>
              <w:ind w:left="100" w:right="432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Certificate BSI </w:t>
            </w:r>
            <w:r>
              <w:br/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N. CE670385 </w:t>
            </w:r>
            <w:r>
              <w:br/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Issued 2018-07-19 </w:t>
            </w:r>
          </w:p>
          <w:p>
            <w:pPr>
              <w:autoSpaceDN w:val="0"/>
              <w:autoSpaceDE w:val="0"/>
              <w:widowControl/>
              <w:spacing w:line="209" w:lineRule="auto" w:before="232" w:after="0"/>
              <w:ind w:left="0" w:right="0" w:firstLine="0"/>
              <w:jc w:val="center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Expiry date 2023-07-18 </w:t>
            </w:r>
          </w:p>
          <w:p>
            <w:pPr>
              <w:autoSpaceDN w:val="0"/>
              <w:autoSpaceDE w:val="0"/>
              <w:widowControl/>
              <w:spacing w:line="245" w:lineRule="auto" w:before="230" w:after="0"/>
              <w:ind w:left="100" w:right="144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Allegato II escluso p.to </w:t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4 </w:t>
            </w:r>
          </w:p>
        </w:tc>
      </w:tr>
      <w:tr>
        <w:trPr>
          <w:trHeight w:hRule="exact" w:val="1668"/>
        </w:trPr>
        <w:tc>
          <w:tcPr>
            <w:tcW w:type="dxa" w:w="2108"/>
            <w:tcBorders>
              <w:start w:sz="3.199999999999932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5" w:lineRule="auto" w:before="24" w:after="0"/>
              <w:ind w:left="102" w:right="0" w:firstLine="0"/>
              <w:jc w:val="left"/>
            </w:pP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CTU S WAVE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BASIC UDI </w:t>
            </w:r>
            <w:r>
              <w:br/>
            </w:r>
            <w:r>
              <w:rPr>
                <w:w w:val="101.33340623643663"/>
                <w:rFonts w:ascii="" w:hAnsi="" w:eastAsia=""/>
                <w:b/>
                <w:i w:val="0"/>
                <w:color w:val="000000"/>
                <w:sz w:val="18"/>
              </w:rPr>
              <w:t xml:space="preserve">7649990767SWAVEXZ </w:t>
            </w:r>
          </w:p>
        </w:tc>
        <w:tc>
          <w:tcPr>
            <w:tcW w:type="dxa" w:w="176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9" w:lineRule="auto" w:before="24" w:after="0"/>
              <w:ind w:left="98" w:right="0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Classe IIa </w:t>
            </w:r>
          </w:p>
        </w:tc>
        <w:tc>
          <w:tcPr>
            <w:tcW w:type="dxa" w:w="1760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9" w:lineRule="auto" w:before="24" w:after="0"/>
              <w:ind w:left="100" w:right="0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N/A </w:t>
            </w:r>
          </w:p>
        </w:tc>
        <w:tc>
          <w:tcPr>
            <w:tcW w:type="dxa" w:w="2156"/>
            <w:tcBorders>
              <w:start w:sz="4.0" w:val="single" w:color="#BFBFBF"/>
              <w:top w:sz="4.0" w:val="single" w:color="#BFBFBF"/>
              <w:end w:sz="4.0" w:val="single" w:color="#BFBFBF"/>
              <w:bottom w:sz="4.0" w:val="single" w:color="#BFBFB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4" w:after="0"/>
              <w:ind w:left="100" w:right="432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Certificate BSI </w:t>
            </w:r>
            <w:r>
              <w:br/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N. CE670385 </w:t>
            </w:r>
            <w:r>
              <w:br/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Issued 2018-07-19 </w:t>
            </w:r>
          </w:p>
          <w:p>
            <w:pPr>
              <w:autoSpaceDN w:val="0"/>
              <w:autoSpaceDE w:val="0"/>
              <w:widowControl/>
              <w:spacing w:line="211" w:lineRule="auto" w:before="230" w:after="0"/>
              <w:ind w:left="0" w:right="0" w:firstLine="0"/>
              <w:jc w:val="center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Expiry date 2023-07-18 </w:t>
            </w:r>
          </w:p>
          <w:p>
            <w:pPr>
              <w:autoSpaceDN w:val="0"/>
              <w:autoSpaceDE w:val="0"/>
              <w:widowControl/>
              <w:spacing w:line="245" w:lineRule="auto" w:before="230" w:after="0"/>
              <w:ind w:left="100" w:right="0" w:firstLine="0"/>
              <w:jc w:val="left"/>
            </w:pP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Annex II excluding sec. </w:t>
            </w:r>
            <w:r>
              <w:rPr>
                <w:w w:val="101.33340623643663"/>
                <w:rFonts w:ascii="" w:hAnsi="" w:eastAsia=""/>
                <w:b w:val="0"/>
                <w:i w:val="0"/>
                <w:color w:val="000000"/>
                <w:sz w:val="18"/>
              </w:rPr>
              <w:t xml:space="preserve">4 </w:t>
            </w:r>
          </w:p>
        </w:tc>
      </w:tr>
    </w:tbl>
    <w:p>
      <w:pPr>
        <w:autoSpaceDN w:val="0"/>
        <w:autoSpaceDE w:val="0"/>
        <w:widowControl/>
        <w:spacing w:line="209" w:lineRule="auto" w:before="328" w:after="18"/>
        <w:ind w:left="0" w:right="338" w:firstLine="0"/>
        <w:jc w:val="right"/>
      </w:pPr>
      <w:r>
        <w:rPr>
          <w:rFonts w:ascii="" w:hAnsi="" w:eastAsia=""/>
          <w:b w:val="0"/>
          <w:i w:val="0"/>
          <w:color w:val="000000"/>
          <w:sz w:val="14"/>
        </w:rPr>
        <w:t xml:space="preserve">TÜV Rheinland Italia S.r.l. </w:t>
      </w:r>
    </w:p>
    <w:p>
      <w:pPr>
        <w:sectPr>
          <w:type w:val="continuous"/>
          <w:pgSz w:w="11900" w:h="16840"/>
          <w:pgMar w:top="480" w:right="100" w:bottom="368" w:left="136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0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TUV RHEINLAND ITALIA (n.1936) </w:t>
      </w:r>
    </w:p>
    <w:p>
      <w:pPr>
        <w:autoSpaceDN w:val="0"/>
        <w:autoSpaceDE w:val="0"/>
        <w:widowControl/>
        <w:spacing w:line="209" w:lineRule="auto" w:before="1550" w:after="0"/>
        <w:ind w:left="0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Annex: Certificate of BSI n. CE 670385 </w:t>
      </w:r>
    </w:p>
    <w:p>
      <w:pPr>
        <w:sectPr>
          <w:type w:val="continuous"/>
          <w:pgSz w:w="11900" w:h="16840"/>
          <w:pgMar w:top="480" w:right="100" w:bottom="368" w:left="1364" w:header="720" w:footer="720" w:gutter="0"/>
          <w:cols w:num="2" w:equalWidth="0">
            <w:col w:w="3600" w:space="0"/>
            <w:col w:w="6836" w:space="0"/>
          </w:cols>
          <w:docGrid w:linePitch="360"/>
        </w:sectPr>
      </w:pPr>
    </w:p>
    <w:p>
      <w:pPr>
        <w:autoSpaceDN w:val="0"/>
        <w:autoSpaceDE w:val="0"/>
        <w:widowControl/>
        <w:spacing w:line="209" w:lineRule="auto" w:before="0" w:after="0"/>
        <w:ind w:left="86" w:right="0" w:firstLine="0"/>
        <w:jc w:val="left"/>
      </w:pPr>
      <w:r>
        <w:rPr>
          <w:rFonts w:ascii="" w:hAnsi="" w:eastAsia=""/>
          <w:b w:val="0"/>
          <w:i w:val="0"/>
          <w:color w:val="000000"/>
          <w:sz w:val="20"/>
        </w:rPr>
        <w:t xml:space="preserve">2 </w:t>
      </w:r>
    </w:p>
    <w:sectPr w:rsidR="00FC693F" w:rsidRPr="0006063C" w:rsidSect="00034616">
      <w:type w:val="nextColumn"/>
      <w:pgSz w:w="11900" w:h="16840"/>
      <w:pgMar w:top="480" w:right="100" w:bottom="368" w:left="1364" w:header="720" w:footer="720" w:gutter="0"/>
      <w:cols w:num="2" w:equalWidth="0">
        <w:col w:w="3600" w:space="0"/>
        <w:col w:w="683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